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4F0" w:rsidRDefault="001A64F0">
      <w:pPr>
        <w:rPr>
          <w:rFonts w:ascii="Calibri" w:eastAsia="Calibri" w:hAnsi="Calibri" w:cs="Times New Roman"/>
        </w:rPr>
      </w:pPr>
      <w:bookmarkStart w:id="0" w:name="_GoBack"/>
      <w:bookmarkEnd w:id="0"/>
    </w:p>
    <w:p w:rsidR="001A64F0" w:rsidRDefault="001A64F0">
      <w:pPr>
        <w:rPr>
          <w:rFonts w:ascii="Calibri" w:eastAsia="Calibri" w:hAnsi="Calibri" w:cs="Times New Roman"/>
        </w:rPr>
      </w:pPr>
      <w:r>
        <w:rPr>
          <w:rFonts w:ascii="Calibri" w:hAnsi="Calibri"/>
          <w:color w:val="000000"/>
        </w:rPr>
        <w:t>Hay que aumentar el seguro de responsabilidad civil de UF 2.000 a UF 4.000 con el objeto de asegurar a la víctimas el pago de la indemnización de UF 4.000 establecida en el Código Aeronáutico, sobre la base de una responsabilidad objetiva, es decir, sin culpa de la empresa aérea, sino que procede por el hecho del accidente de la aeronave y que la víctima sea pasajero. Pero igualmente importante es que se pague por el hecho del accidente y que no quede a la voluntad de la empresa aérea pagar o no la póliza de seguro a los familiares de las víctima en caso de fallecimiento o al pasajero en caso de lesiones</w:t>
      </w:r>
    </w:p>
    <w:p w:rsidR="001A64F0" w:rsidRDefault="001A64F0"/>
    <w:sectPr w:rsidR="001A64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4F0"/>
    <w:rsid w:val="001A64F0"/>
    <w:rsid w:val="002E44BA"/>
    <w:rsid w:val="009022EC"/>
    <w:rsid w:val="00EA647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520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FVG</dc:creator>
  <cp:lastModifiedBy>FVG</cp:lastModifiedBy>
  <cp:revision>2</cp:revision>
  <dcterms:created xsi:type="dcterms:W3CDTF">2015-08-26T20:20:00Z</dcterms:created>
  <dcterms:modified xsi:type="dcterms:W3CDTF">2015-08-26T20:47:00Z</dcterms:modified>
</cp:coreProperties>
</file>